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Rugby and the Media</w:t>
      </w:r>
    </w:p>
    <w:p w:rsidR="00000000" w:rsidDel="00000000" w:rsidP="00000000" w:rsidRDefault="00000000" w:rsidRPr="00000000" w14:paraId="00000002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Possible lesson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Lesson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62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are asked to collect and bring media articles (male and female) that portray images of “the good, the bad and the ugly” in sport. </w:t>
      </w:r>
      <w:r w:rsidDel="00000000" w:rsidR="00000000" w:rsidRPr="00000000">
        <w:rPr>
          <w:rtl w:val="0"/>
        </w:rPr>
        <w:t xml:space="preserve">Teachers</w:t>
      </w:r>
      <w:r w:rsidDel="00000000" w:rsidR="00000000" w:rsidRPr="00000000">
        <w:rPr>
          <w:vertAlign w:val="baseline"/>
          <w:rtl w:val="0"/>
        </w:rPr>
        <w:t xml:space="preserve"> may wish to have a supply of pre-collected articles. A classroom or gymnasium wall can be devoted to these in two sections, entitled “The Wall of Fame” and the “Wall of Shame”.  </w:t>
      </w:r>
    </w:p>
    <w:p w:rsidR="00000000" w:rsidDel="00000000" w:rsidP="00000000" w:rsidRDefault="00000000" w:rsidRPr="00000000" w14:paraId="00000008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62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group articles into headings, for example:</w:t>
      </w:r>
    </w:p>
    <w:p w:rsidR="00000000" w:rsidDel="00000000" w:rsidP="00000000" w:rsidRDefault="00000000" w:rsidRPr="00000000" w14:paraId="0000000A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4"/>
        <w:gridCol w:w="4924"/>
        <w:tblGridChange w:id="0">
          <w:tblGrid>
            <w:gridCol w:w="4924"/>
            <w:gridCol w:w="4924"/>
          </w:tblGrid>
        </w:tblGridChange>
      </w:tblGrid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ind w:right="-62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“Wall of Fame”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ind w:right="-62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“Wall of Shame”.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Fair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Losing with dignity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Winning graciously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Positive comments about umpire, opponent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Images of hugs and congratulations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Positive role modelling off the 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Sport experiences that enhance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Addition of community leisure facilities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Violence/aggression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Losing ungraciously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Winning and putting down opponents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Abuse of referee and  officials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Images of bad manners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Negative role modelling off the field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Sport experiences that damage 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360" w:lineRule="auto"/>
              <w:ind w:left="720" w:right="-62" w:hanging="72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Addition of community leisure facilities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right="-6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in pairs or small groups explore particular themes and trends that might run through these images. </w:t>
      </w:r>
    </w:p>
    <w:p w:rsidR="00000000" w:rsidDel="00000000" w:rsidP="00000000" w:rsidRDefault="00000000" w:rsidRPr="00000000" w14:paraId="0000001E">
      <w:pPr>
        <w:ind w:right="-6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example: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the proportion of articles about male sports as compared to female sports?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are male and female sportspeople represented in the media images? For example uniforms, sports played, poses, and roles.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violence associated with any particular sports? Which ones?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Which sports seem to receive a lot of funding, for example sponsorship, merchandise, television rights, ticket sales? Which sports receive little funding?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Which sports seem to be written about most supportively or most negatively?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Which sports people seem to receive media support or media negativity?</w:t>
      </w:r>
    </w:p>
    <w:p w:rsidR="00000000" w:rsidDel="00000000" w:rsidP="00000000" w:rsidRDefault="00000000" w:rsidRPr="00000000" w14:paraId="00000025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62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establish a Brainstorm Board with messages they have gained from stories and images of sports people.</w:t>
      </w:r>
    </w:p>
    <w:p w:rsidR="00000000" w:rsidDel="00000000" w:rsidP="00000000" w:rsidRDefault="00000000" w:rsidRPr="00000000" w14:paraId="00000027">
      <w:pPr>
        <w:ind w:right="-6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example</w:t>
      </w:r>
    </w:p>
    <w:p w:rsidR="00000000" w:rsidDel="00000000" w:rsidP="00000000" w:rsidRDefault="00000000" w:rsidRPr="00000000" w14:paraId="00000028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5"/>
        <w:tblGridChange w:id="0">
          <w:tblGrid>
            <w:gridCol w:w="8525"/>
          </w:tblGrid>
        </w:tblGridChange>
      </w:tblGrid>
      <w:tr>
        <w:trPr>
          <w:trHeight w:val="3826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ind w:right="-6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12700</wp:posOffset>
                      </wp:positionV>
                      <wp:extent cx="1272540" cy="184594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719255" y="2866553"/>
                                <a:ext cx="1253490" cy="182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" w:cs="Century" w:eastAsia="Century" w:hAnsi="Century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Sports people are good looking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entury" w:cs="Century" w:eastAsia="Century" w:hAnsi="Century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12700</wp:posOffset>
                      </wp:positionV>
                      <wp:extent cx="1272540" cy="1845945"/>
                      <wp:effectExtent b="0" l="0" r="0" t="0"/>
                      <wp:wrapNone/>
                      <wp:docPr id="1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2540" cy="18459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A">
            <w:pPr>
              <w:ind w:right="-6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825500</wp:posOffset>
                      </wp:positionV>
                      <wp:extent cx="1960245" cy="125920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375403" y="3159923"/>
                                <a:ext cx="1941195" cy="124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verlock" w:cs="Overlock" w:eastAsia="Overlock" w:hAnsi="Overlo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Sports people earn lots of money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verlock" w:cs="Overlock" w:eastAsia="Overlock" w:hAnsi="Overlo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825500</wp:posOffset>
                      </wp:positionV>
                      <wp:extent cx="1960245" cy="1259205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245" cy="1259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685800</wp:posOffset>
                      </wp:positionV>
                      <wp:extent cx="1047750" cy="111061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831650" y="3234218"/>
                                <a:ext cx="1028700" cy="1091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pen Sans ExtraBold" w:cs="Open Sans ExtraBold" w:eastAsia="Open Sans ExtraBold" w:hAnsi="Open Sans ExtraBold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Sports people have lots of friends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Open Sans ExtraBold" w:cs="Open Sans ExtraBold" w:eastAsia="Open Sans ExtraBold" w:hAnsi="Open Sans ExtraBold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685800</wp:posOffset>
                      </wp:positionV>
                      <wp:extent cx="1047750" cy="1110615"/>
                      <wp:effectExtent b="0" l="0" r="0" t="0"/>
                      <wp:wrapNone/>
                      <wp:docPr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0" cy="11106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819150" cy="104775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945950" y="3265650"/>
                                <a:ext cx="800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eorgia" w:cs="Georgia" w:eastAsia="Georgia" w:hAnsi="Georg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Sports people are famous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Georgia" w:cs="Georgia" w:eastAsia="Georgia" w:hAnsi="Georgi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0</wp:posOffset>
                      </wp:positionV>
                      <wp:extent cx="819150" cy="1047750"/>
                      <wp:effectExtent b="0" l="0" r="0" t="0"/>
                      <wp:wrapNone/>
                      <wp:docPr id="1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1047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B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6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Extension activity (This activity may relate to AO 3A4)</w:t>
      </w:r>
    </w:p>
    <w:p w:rsidR="00000000" w:rsidDel="00000000" w:rsidP="00000000" w:rsidRDefault="00000000" w:rsidRPr="00000000" w14:paraId="0000002E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62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are asked how the media stories and images affect their feeling of well-being. </w:t>
      </w:r>
    </w:p>
    <w:p w:rsidR="00000000" w:rsidDel="00000000" w:rsidP="00000000" w:rsidRDefault="00000000" w:rsidRPr="00000000" w14:paraId="00000030">
      <w:pPr>
        <w:ind w:right="-6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example:</w:t>
      </w:r>
    </w:p>
    <w:p w:rsidR="00000000" w:rsidDel="00000000" w:rsidP="00000000" w:rsidRDefault="00000000" w:rsidRPr="00000000" w14:paraId="00000031">
      <w:pPr>
        <w:ind w:left="0" w:right="-62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Would you like to be a famous sportsperson? How would it make you feel?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right="-62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media reports inspire you to participate in sport? Why? / Why not?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right="-62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would you think about sport if a group you relate to (for example people with similar body shape, gender, and/or culture) are underrepresented or portrayed negatively in the sports media?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pos="426"/>
        </w:tabs>
        <w:ind w:left="720" w:right="-62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play a sport how supported do you feel about playing your sport - by the media, friends, and/or family?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right="-62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some of the messages you receive about sports you play? For example comments may include, “that sport is for sissies”, “it must be cool playing that sport”.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right="-62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effect do these messages have on you?  For example comments may include, I feel supported, I feel put down, I don’t care what others say, I enjoy it.</w:t>
      </w:r>
    </w:p>
    <w:p w:rsidR="00000000" w:rsidDel="00000000" w:rsidP="00000000" w:rsidRDefault="00000000" w:rsidRPr="00000000" w14:paraId="00000037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Lesson 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Task one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media clippings that represent examples of regional support for provincial teams in either the Super 12, or NPC competitions.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Identify the colours, uniforms, cheerleaders, and mascots.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Discuss how these contribute to a sense of identity or belonging to each region.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Ask questions like: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Who does the media focus on?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Where do the colours come from?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are some of the traditions or folklore behind the provincial teams?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Discuss the level of support for the regional team.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it decreased or increased?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Why is there a change?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How has the media contributed to the change?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Task two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Discuss why people choose to play or choose not to play rugby.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 example, body size, cultural factors, family traditions, parental support, fear of injury, skill differentiation with peers, don’t know the rules, and/or perceived gender bias.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Task three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Discuss the media influence or either restricting people from or attracting people to rugby as a sport. </w:t>
        <w:br w:type="textWrapping"/>
        <w:t xml:space="preserve">For example, focusing on heroes and role models, emphasising portrayals of violence, proportion of male versus female media coverage.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spacing w:line="240" w:lineRule="auto"/>
        <w:rPr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z w:val="24"/>
          <w:szCs w:val="24"/>
          <w:vertAlign w:val="baseline"/>
          <w:rtl w:val="0"/>
        </w:rPr>
        <w:t xml:space="preserve">Task four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spacing w:line="240" w:lineRule="auto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Inform </w:t>
      </w:r>
      <w:r w:rsidDel="00000000" w:rsidR="00000000" w:rsidRPr="00000000">
        <w:rPr>
          <w:i w:val="0"/>
          <w:sz w:val="24"/>
          <w:szCs w:val="24"/>
          <w:rtl w:val="0"/>
        </w:rPr>
        <w:t xml:space="preserve">ākonga</w:t>
      </w: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 that a rugby tournament will be organised in the syndicate.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340" w:hanging="340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record their initial responses to participating in the rugby tournament onto cards and place them onto a continuum from “great let’s play” to “I only want to watch”. Encourage honest responses that may reveal a fear of being hurt, fear of being ridiculed, or comments like, “I’ll let my team-mates down”.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pos="-1701"/>
        </w:tabs>
        <w:ind w:left="340" w:right="-8" w:hanging="340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consider where their ideas come from and how much the media has influenced their ideas. </w:t>
      </w:r>
    </w:p>
    <w:p w:rsidR="00000000" w:rsidDel="00000000" w:rsidP="00000000" w:rsidRDefault="00000000" w:rsidRPr="00000000" w14:paraId="00000054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-8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Task five </w:t>
      </w:r>
    </w:p>
    <w:p w:rsidR="00000000" w:rsidDel="00000000" w:rsidP="00000000" w:rsidRDefault="00000000" w:rsidRPr="00000000" w14:paraId="00000056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Having considered people’s opinions and barriers to participation in rugby,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are asked how the game can be modified to break down these barriers and promote inclusiveness.</w:t>
      </w:r>
    </w:p>
    <w:p w:rsidR="00000000" w:rsidDel="00000000" w:rsidP="00000000" w:rsidRDefault="00000000" w:rsidRPr="00000000" w14:paraId="00000057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example modifying the </w:t>
      </w:r>
      <w:bookmarkStart w:colFirst="0" w:colLast="0" w:name="bookmark=id.gjdgxs" w:id="0"/>
      <w:bookmarkEnd w:id="0"/>
      <w:r w:rsidDel="00000000" w:rsidR="00000000" w:rsidRPr="00000000">
        <w:rPr>
          <w:vertAlign w:val="baseline"/>
          <w:rtl w:val="0"/>
        </w:rPr>
        <w:t xml:space="preserve">rules, equipment, and/or scoring. Modification may include aspects of flag football, touch, and new image rugby (See modified rules worksheet).</w:t>
      </w:r>
    </w:p>
    <w:p w:rsidR="00000000" w:rsidDel="00000000" w:rsidP="00000000" w:rsidRDefault="00000000" w:rsidRPr="00000000" w14:paraId="00000058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-8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-8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5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-8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three – six</w:t>
      </w:r>
    </w:p>
    <w:p w:rsidR="00000000" w:rsidDel="00000000" w:rsidP="00000000" w:rsidRDefault="00000000" w:rsidRPr="00000000" w14:paraId="0000005C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devise a team treaty or code of behaviour that relates to Wall of Fame behaviours. For example</w:t>
      </w:r>
    </w:p>
    <w:p w:rsidR="00000000" w:rsidDel="00000000" w:rsidP="00000000" w:rsidRDefault="00000000" w:rsidRPr="00000000" w14:paraId="0000005E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333750" cy="29908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88650" y="2294100"/>
                          <a:ext cx="3314700" cy="29718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333750" cy="29908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2990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2190750" cy="2305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Our Team Treaty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Have fun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Celebrate good play and effort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 everyone in moves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Don’t moan at the ref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Don’t blame if something goes wrong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12700</wp:posOffset>
                </wp:positionV>
                <wp:extent cx="2190750" cy="230505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305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</wp:posOffset>
                </wp:positionV>
                <wp:extent cx="2076450" cy="3619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7300" y="360855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We will try our best to keep to this treaty – signed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____________ _______________ 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12700</wp:posOffset>
                </wp:positionV>
                <wp:extent cx="2076450" cy="3619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-1701"/>
          <w:tab w:val="left" w:pos="284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-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sign the team treaty worksheet acknowledging that individual responsibility will be needed. (see worksheets)</w:t>
      </w:r>
    </w:p>
    <w:p w:rsidR="00000000" w:rsidDel="00000000" w:rsidP="00000000" w:rsidRDefault="00000000" w:rsidRPr="00000000" w14:paraId="00000071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play games of modified rugby (as per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’ rules) </w:t>
      </w:r>
    </w:p>
    <w:p w:rsidR="00000000" w:rsidDel="00000000" w:rsidP="00000000" w:rsidRDefault="00000000" w:rsidRPr="00000000" w14:paraId="00000073">
      <w:pPr>
        <w:tabs>
          <w:tab w:val="left" w:pos="-1701"/>
        </w:tabs>
        <w:ind w:right="-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701"/>
        </w:tabs>
        <w:spacing w:after="0" w:before="0" w:line="240" w:lineRule="auto"/>
        <w:ind w:left="0" w:right="-8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end of each lesson an opportunity is provided for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peer and/or self assess their behaviour against the agreed treaty / code of behaviour.</w:t>
      </w:r>
    </w:p>
    <w:p w:rsidR="00000000" w:rsidDel="00000000" w:rsidP="00000000" w:rsidRDefault="00000000" w:rsidRPr="00000000" w14:paraId="00000075">
      <w:pPr>
        <w:ind w:right="-6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-6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are ideas teachers may use to promote the festivity of the rugby tournament.  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Combine the end-of-season event with a planned excursion for the class away from the school.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After the final events of the regular season, hold a ‘friendly’ tournament with another class – remembering to include all players and all teams.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Invite a special guest (eg local rugby role model), or parents, or the local press.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Plan a class visit to an elite sporting fixture or event.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Combine the end-of-season event with staff-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or parent-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games.</w:t>
      </w:r>
    </w:p>
    <w:p w:rsidR="00000000" w:rsidDel="00000000" w:rsidP="00000000" w:rsidRDefault="00000000" w:rsidRPr="00000000" w14:paraId="0000007C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Arrange certificates for most improved players, fairest umpire, fair play awards, etc.</w:t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Encourage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to arrange sponsorship from local businesses for team T-shirts.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Invite the school cultural group or band to perform at the end-of-season event.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Videotape the festival activities to stimulate next year’s class.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Teams arrange team chants, dances and/or songs.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Captains prepare a speech on behalf of their team, thanking umpires team members, sponsors, etc.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ind w:left="426" w:right="-62" w:hanging="426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Arrange a special dignitary to make a short speech at a formal ‘opening ceremony’.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Debrief at the end of the tournament. </w:t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example, </w:t>
      </w: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report on how their team treaty or code of behaviour affected their enjoyment of the game.</w:t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rPr>
          <w:rFonts w:ascii="Times" w:cs="Times" w:eastAsia="Times" w:hAnsi="Times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vertAlign w:val="baseline"/>
          <w:rtl w:val="0"/>
        </w:rPr>
        <w:t xml:space="preserve">Extension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explore the issue of rugby and the media further, teachers could use the example of </w:t>
      </w:r>
      <w:hyperlink r:id="rId14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rugby in the media</w:t>
        </w:r>
      </w:hyperlink>
      <w:bookmarkStart w:colFirst="0" w:colLast="0" w:name="bookmark=id.1fob9te" w:id="2"/>
      <w:bookmarkEnd w:id="2"/>
      <w:r w:rsidDel="00000000" w:rsidR="00000000" w:rsidRPr="00000000">
        <w:rPr>
          <w:vertAlign w:val="baseline"/>
          <w:rtl w:val="0"/>
        </w:rPr>
        <w:t xml:space="preserve"> using the social inquiry model. </w:t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Times"/>
  <w:font w:name="Open Sans ExtraBold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right="-62"/>
      <w:jc w:val="both"/>
    </w:pPr>
    <w:rPr>
      <w:rFonts w:ascii="Times New Roman" w:cs="Times New Roman" w:eastAsia="Times New Roman" w:hAnsi="Times New Roman"/>
      <w:i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Open Sans ExtraBold" w:cs="Open Sans ExtraBold" w:eastAsia="Open Sans ExtraBold" w:hAnsi="Open Sans ExtraBold"/>
      <w:b w:val="1"/>
      <w:sz w:val="64"/>
      <w:szCs w:val="6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right="-62"/>
      <w:jc w:val="both"/>
    </w:pPr>
    <w:rPr>
      <w:rFonts w:ascii="Times New Roman" w:cs="Times New Roman" w:eastAsia="Times New Roman" w:hAnsi="Times New Roman"/>
      <w:i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Open Sans ExtraBold" w:cs="Open Sans ExtraBold" w:eastAsia="Open Sans ExtraBold" w:hAnsi="Open Sans ExtraBold"/>
      <w:b w:val="1"/>
      <w:sz w:val="64"/>
      <w:szCs w:val="6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NZ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right="-62" w:leftChars="-1" w:rightChars="0" w:firstLineChars="-1"/>
      <w:jc w:val="both"/>
      <w:textDirection w:val="btLr"/>
      <w:textAlignment w:val="top"/>
      <w:outlineLvl w:val="2"/>
    </w:pPr>
    <w:rPr>
      <w:rFonts w:ascii="Times New Roman" w:hAnsi="Times New Roman"/>
      <w:i w:val="1"/>
      <w:w w:val="100"/>
      <w:position w:val="-1"/>
      <w:sz w:val="26"/>
      <w:effect w:val="none"/>
      <w:vertAlign w:val="baseline"/>
      <w:cs w:val="0"/>
      <w:em w:val="none"/>
      <w:lang w:bidi="ar-SA" w:eastAsia="en-US" w:val="en-NZ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40"/>
      <w:effect w:val="none"/>
      <w:vertAlign w:val="baseline"/>
      <w:cs w:val="0"/>
      <w:em w:val="none"/>
      <w:lang w:bidi="ar-SA" w:eastAsia="en-US" w:val="en-NZ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 New Roman" w:hAnsi="Times New Roman"/>
      <w:w w:val="100"/>
      <w:position w:val="-1"/>
      <w:sz w:val="40"/>
      <w:effect w:val="none"/>
      <w:vertAlign w:val="baseline"/>
      <w:cs w:val="0"/>
      <w:em w:val="none"/>
      <w:lang w:bidi="ar-SA" w:eastAsia="en-US" w:val="en-NZ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lbertus Extra Bold" w:hAnsi="Albertus Extra Bold"/>
      <w:b w:val="1"/>
      <w:bCs w:val="1"/>
      <w:w w:val="100"/>
      <w:position w:val="-1"/>
      <w:sz w:val="64"/>
      <w:effect w:val="none"/>
      <w:vertAlign w:val="baseline"/>
      <w:cs w:val="0"/>
      <w:em w:val="none"/>
      <w:lang w:bidi="ar-SA" w:eastAsia="en-US" w:val="en-NZ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tabs>
        <w:tab w:val="left" w:leader="none" w:pos="-1701"/>
      </w:tabs>
      <w:suppressAutoHyphens w:val="1"/>
      <w:spacing w:line="1" w:lineRule="atLeast"/>
      <w:ind w:right="-8" w:leftChars="-1" w:rightChars="0" w:firstLineChars="-1"/>
      <w:textDirection w:val="btLr"/>
      <w:textAlignment w:val="top"/>
      <w:outlineLvl w:val="6"/>
    </w:pPr>
    <w:rPr>
      <w:rFonts w:ascii="Times New Roman Mäori" w:hAnsi="Times New Roman Mäori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Times New Roman Mäori" w:hAnsi="Times New Roman Mäori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en-US" w:val="en-NZ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268" w:leftChars="-1" w:rightChars="0" w:hanging="2268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tabs>
        <w:tab w:val="left" w:leader="none" w:pos="-1701"/>
      </w:tabs>
      <w:suppressAutoHyphens w:val="1"/>
      <w:spacing w:line="1" w:lineRule="atLeast"/>
      <w:ind w:right="-8" w:leftChars="-1" w:rightChars="0" w:firstLineChars="-1"/>
      <w:textDirection w:val="btLr"/>
      <w:textAlignment w:val="top"/>
      <w:outlineLvl w:val="0"/>
    </w:pPr>
    <w:rPr>
      <w:rFonts w:ascii="Times New Roman Mäori" w:hAnsi="Times New Roman Mäori"/>
      <w:w w:val="100"/>
      <w:position w:val="-1"/>
      <w:sz w:val="24"/>
      <w:effect w:val="none"/>
      <w:vertAlign w:val="baseline"/>
      <w:cs w:val="0"/>
      <w:em w:val="none"/>
      <w:lang w:bidi="ar-SA" w:eastAsia="en-US" w:val="en-N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hyperlink" Target="http://www.tki.org.nz/r/health/sport_studies/approaches/word/social_enquiry_rugby.do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vZGH1RgvX/TrV/RiELn7qZDEg==">AMUW2mVq6GKZwejAhGcgFLgXWkT5c1Z8ilFeNQi+DU7+C7d0B7Azx/YTRteNtzo3JX8ghBPrGn+Wmt78fQRA0bweNtpiptth1zRzxf+iqWYkRB9Tpg0p0b/c/GDk9yGWUqaDGbWMvm+yft1sTO2gCWgbVGtbj9JtSg==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2011-12-21T01:59:00Z</dcterms:created>
  <dc:creator>Simon Jackson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